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BA" w:rsidRDefault="00C174BA" w:rsidP="00C174BA">
      <w:pPr>
        <w:rPr>
          <w:rFonts w:ascii="ＭＳ 明朝"/>
        </w:rPr>
      </w:pPr>
      <w:r>
        <w:rPr>
          <w:rFonts w:ascii="ＤＦ特太ゴシック体" w:eastAsia="ＤＦ特太ゴシック体" w:hint="eastAsia"/>
          <w:sz w:val="28"/>
        </w:rPr>
        <w:t>大阪市長</w:t>
      </w:r>
      <w:r>
        <w:rPr>
          <w:rFonts w:ascii="ＤＦ特太ゴシック体" w:eastAsia="ＤＦ特太ゴシック体" w:hint="eastAsia"/>
          <w:sz w:val="32"/>
        </w:rPr>
        <w:t xml:space="preserve">　</w:t>
      </w:r>
      <w:r>
        <w:rPr>
          <w:rFonts w:ascii="FGＮＴＣ新楷書体" w:eastAsia="FGＮＴＣ新楷書体" w:hint="eastAsia"/>
          <w:sz w:val="40"/>
        </w:rPr>
        <w:t>磯村隆文殿</w:t>
      </w:r>
    </w:p>
    <w:p w:rsidR="00C174BA" w:rsidRDefault="00C174BA" w:rsidP="00C174BA">
      <w:pPr>
        <w:spacing w:line="240" w:lineRule="auto"/>
        <w:ind w:firstLine="3600"/>
        <w:rPr>
          <w:rFonts w:ascii="FGP丸ｺﾞｼｯｸ体Ca-B" w:eastAsia="FGP丸ｺﾞｼｯｸ体Ca-B"/>
          <w:sz w:val="28"/>
        </w:rPr>
      </w:pPr>
      <w:r>
        <w:rPr>
          <w:rFonts w:ascii="FGP丸ｺﾞｼｯｸ体Ca-B" w:eastAsia="FGP丸ｺﾞｼｯｸ体Ca-B" w:hint="eastAsia"/>
          <w:sz w:val="28"/>
        </w:rPr>
        <w:t>第</w:t>
      </w:r>
      <w:r w:rsidR="002D01D3">
        <w:rPr>
          <w:rFonts w:ascii="Calibri" w:eastAsia="FGP丸ｺﾞｼｯｸ体Ca-B" w:hAnsi="Calibri" w:hint="eastAsia"/>
          <w:sz w:val="28"/>
        </w:rPr>
        <w:t>2</w:t>
      </w:r>
      <w:r w:rsidR="002D01D3">
        <w:rPr>
          <w:rFonts w:ascii="Calibri" w:eastAsia="FGP丸ｺﾞｼｯｸ体Ca-B" w:hAnsi="Calibri"/>
          <w:sz w:val="28"/>
        </w:rPr>
        <w:t>7</w:t>
      </w:r>
      <w:r>
        <w:rPr>
          <w:rFonts w:ascii="FGP丸ｺﾞｼｯｸ体Ca-B" w:eastAsia="FGP丸ｺﾞｼｯｸ体Ca-B" w:hint="eastAsia"/>
          <w:sz w:val="28"/>
        </w:rPr>
        <w:t>回釜ケ崎越冬闘争実行委員会</w:t>
      </w:r>
    </w:p>
    <w:p w:rsidR="00C174BA" w:rsidRDefault="00C174BA" w:rsidP="00C174BA">
      <w:pPr>
        <w:spacing w:line="360" w:lineRule="auto"/>
        <w:ind w:firstLine="3600"/>
        <w:rPr>
          <w:rFonts w:ascii="FGPＮＴＣ中丸ゴシック体" w:eastAsia="FGPＮＴＣ中丸ゴシック体"/>
          <w:sz w:val="18"/>
        </w:rPr>
      </w:pPr>
      <w:r>
        <w:rPr>
          <w:rFonts w:ascii="FGPＮＴＣ中丸ゴシック体" w:eastAsia="FGPＮＴＣ中丸ゴシック体" w:hint="eastAsia"/>
          <w:sz w:val="18"/>
        </w:rPr>
        <w:t>大阪市西成区萩之茶屋</w:t>
      </w:r>
      <w:r w:rsidR="002D01D3">
        <w:rPr>
          <w:rFonts w:ascii="Calibri" w:eastAsia="FGPＮＴＣ中丸ゴシック体" w:hAnsi="Calibri" w:hint="eastAsia"/>
          <w:sz w:val="18"/>
        </w:rPr>
        <w:t>2</w:t>
      </w:r>
      <w:r w:rsidR="002D01D3">
        <w:rPr>
          <w:rFonts w:ascii="Calibri" w:eastAsia="FGPＮＴＣ中丸ゴシック体" w:hAnsi="Calibri"/>
          <w:sz w:val="18"/>
        </w:rPr>
        <w:t>-5-23</w:t>
      </w:r>
      <w:r>
        <w:rPr>
          <w:rFonts w:ascii="ＭＳ 明朝" w:eastAsia="ＭＳ 明朝" w:hAnsi="ＭＳ 明朝" w:cs="ＭＳ 明朝" w:hint="eastAsia"/>
          <w:sz w:val="18"/>
        </w:rPr>
        <w:t xml:space="preserve">　</w:t>
      </w:r>
      <w:r>
        <w:rPr>
          <w:rFonts w:ascii="FGPＮＴＣ中丸ゴシック体" w:eastAsia="FGPＮＴＣ中丸ゴシック体" w:hAnsi="FGPＮＴＣ中丸ゴシック体" w:cs="FGPＮＴＣ中丸ゴシック体" w:hint="eastAsia"/>
          <w:sz w:val="18"/>
        </w:rPr>
        <w:t>釜ケ崎解放会館気付</w:t>
      </w:r>
    </w:p>
    <w:p w:rsidR="00C174BA" w:rsidRDefault="00C174BA" w:rsidP="00C174BA">
      <w:pPr>
        <w:spacing w:line="240" w:lineRule="auto"/>
        <w:ind w:firstLine="3600"/>
        <w:rPr>
          <w:rFonts w:ascii="FGPＮＴＣ中丸ゴシック体" w:eastAsia="FGPＮＴＣ中丸ゴシック体"/>
          <w:sz w:val="28"/>
        </w:rPr>
      </w:pPr>
      <w:r>
        <w:rPr>
          <w:rFonts w:ascii="FGP丸ｺﾞｼｯｸ体Ca-B" w:eastAsia="FGP丸ｺﾞｼｯｸ体Ca-B" w:hint="eastAsia"/>
          <w:sz w:val="28"/>
        </w:rPr>
        <w:t>釜ケ崎反失業連絡会（略称）</w:t>
      </w:r>
    </w:p>
    <w:p w:rsidR="00C174BA" w:rsidRDefault="00C174BA" w:rsidP="00C174BA">
      <w:pPr>
        <w:spacing w:line="360" w:lineRule="auto"/>
        <w:ind w:firstLine="3600"/>
        <w:rPr>
          <w:rFonts w:ascii="FGPＮＴＣ中丸ゴシック体" w:eastAsia="FGPＮＴＣ中丸ゴシック体"/>
          <w:sz w:val="22"/>
        </w:rPr>
      </w:pPr>
      <w:r>
        <w:rPr>
          <w:rFonts w:ascii="FGPＮＴＣ中丸ゴシック体" w:eastAsia="FGPＮＴＣ中丸ゴシック体" w:hint="eastAsia"/>
          <w:sz w:val="18"/>
        </w:rPr>
        <w:t>大阪市西成区萩之茶屋</w:t>
      </w:r>
      <w:r w:rsidR="002D01D3">
        <w:rPr>
          <w:rFonts w:ascii="Calibri" w:eastAsia="FGPＮＴＣ中丸ゴシック体" w:hAnsi="Calibri" w:hint="eastAsia"/>
          <w:sz w:val="18"/>
        </w:rPr>
        <w:t>3</w:t>
      </w:r>
      <w:r w:rsidR="002D01D3">
        <w:rPr>
          <w:rFonts w:ascii="Calibri" w:eastAsia="FGPＮＴＣ中丸ゴシック体" w:hAnsi="Calibri"/>
          <w:sz w:val="18"/>
        </w:rPr>
        <w:t>-1-10</w:t>
      </w:r>
      <w:r>
        <w:rPr>
          <w:rFonts w:ascii="ＭＳ 明朝" w:eastAsia="ＭＳ 明朝" w:hAnsi="ＭＳ 明朝" w:cs="ＭＳ 明朝" w:hint="eastAsia"/>
          <w:sz w:val="18"/>
        </w:rPr>
        <w:t xml:space="preserve">　</w:t>
      </w:r>
      <w:r>
        <w:rPr>
          <w:rFonts w:ascii="FGPＮＴＣ中丸ゴシック体" w:eastAsia="FGPＮＴＣ中丸ゴシック体" w:hAnsi="FGPＮＴＣ中丸ゴシック体" w:cs="FGPＮＴＣ中丸ゴシック体" w:hint="eastAsia"/>
          <w:sz w:val="18"/>
        </w:rPr>
        <w:t>ふるさとの家気付</w:t>
      </w:r>
    </w:p>
    <w:p w:rsidR="00C174BA" w:rsidRDefault="00C174BA" w:rsidP="00C174BA">
      <w:pPr>
        <w:rPr>
          <w:rFonts w:ascii="ＭＳ 明朝"/>
        </w:rPr>
      </w:pPr>
    </w:p>
    <w:p w:rsidR="00C174BA" w:rsidRDefault="00C174BA" w:rsidP="00C174BA">
      <w:pPr>
        <w:rPr>
          <w:rFonts w:ascii="FGP丸ｺﾞｼｯｸ体Ca-B" w:eastAsia="FGP丸ｺﾞｼｯｸ体Ca-B"/>
          <w:sz w:val="28"/>
        </w:rPr>
      </w:pPr>
      <w:r>
        <w:rPr>
          <w:rFonts w:ascii="FGP丸ｺﾞｼｯｸ体Ca-B" w:eastAsia="FGP丸ｺﾞｼｯｸ体Ca-B" w:hint="eastAsia"/>
          <w:sz w:val="32"/>
        </w:rPr>
        <w:t>釜ケ崎「越年対策」についての要望</w:t>
      </w:r>
    </w:p>
    <w:p w:rsidR="00C174BA" w:rsidRDefault="00C174BA" w:rsidP="00C174BA">
      <w:pPr>
        <w:ind w:firstLine="210"/>
        <w:rPr>
          <w:rFonts w:ascii="ＭＳ 明朝"/>
        </w:rPr>
      </w:pPr>
      <w:r>
        <w:rPr>
          <w:rFonts w:ascii="ＭＳ 明朝" w:hint="eastAsia"/>
        </w:rPr>
        <w:t>昨年は藤本さんが道頓堀に投げ込まれ溺死させられたが、今年は日本橋を中心に連続野宿者襲撃事件が起きている。道路や公園の清掃などを理由とした追い立て策動も、野宿者に対する何の対策も考慮されることなく行われ続けている。「なみはや国体」前にはエイペックの例を挙げるまでもなく、野宿者に対する追い立ては強くなることが予想される。「国体」は、国民の体力の向上と体育施設の充実を目的として実施され続けているものであるが、国民の一部分である野宿者の体力の向上と救援施設の充実にあまり積極的でない大阪で開催しては「西成差別」拡散させるばかりという、非文化的結</w:t>
      </w:r>
      <w:bookmarkStart w:id="0" w:name="_GoBack"/>
      <w:bookmarkEnd w:id="0"/>
      <w:r>
        <w:rPr>
          <w:rFonts w:ascii="ＭＳ 明朝" w:hint="eastAsia"/>
        </w:rPr>
        <w:t>果を招くことになるのではなかろうか。このような状態で「オリンピック招致」などは、とんでもない話である、と、私たちは考える。</w:t>
      </w:r>
    </w:p>
    <w:p w:rsidR="00C174BA" w:rsidRDefault="00C174BA" w:rsidP="00C174BA">
      <w:pPr>
        <w:ind w:firstLine="210"/>
        <w:rPr>
          <w:rFonts w:ascii="ＭＳ 明朝"/>
        </w:rPr>
      </w:pPr>
      <w:r>
        <w:rPr>
          <w:rFonts w:ascii="ＭＳ 明朝" w:hint="eastAsia"/>
        </w:rPr>
        <w:t>「人権」はうたい文句ではなく、具体的事実で個々の人の上に実体化されなければ意味がない。以下の要求を踏まえて越年対策に取り組むことを要望する。更にそれが、越年</w:t>
      </w:r>
      <w:r w:rsidR="002D01D3">
        <w:rPr>
          <w:rFonts w:ascii="ＭＳ 明朝" w:hint="eastAsia"/>
        </w:rPr>
        <w:t>10</w:t>
      </w:r>
      <w:r>
        <w:rPr>
          <w:rFonts w:ascii="ＭＳ 明朝" w:hint="eastAsia"/>
        </w:rPr>
        <w:t>日間対策としてでなく、年間通じた困窮者対策の一つの通過点としての位置付けで行うことを要求する。</w:t>
      </w:r>
    </w:p>
    <w:p w:rsidR="00C174BA" w:rsidRDefault="00C174BA" w:rsidP="00C174BA">
      <w:pPr>
        <w:ind w:firstLine="210"/>
        <w:rPr>
          <w:rFonts w:ascii="FGP丸ｺﾞｼｯｸ体Ca-B" w:eastAsia="FGP丸ｺﾞｼｯｸ体Ca-B"/>
          <w:sz w:val="22"/>
        </w:rPr>
      </w:pPr>
      <w:r>
        <w:rPr>
          <w:rFonts w:ascii="FGP丸ｺﾞｼｯｸ体Ca-B" w:eastAsia="FGP丸ｺﾞｼｯｸ体Ca-B" w:hint="eastAsia"/>
          <w:sz w:val="22"/>
        </w:rPr>
        <w:t>前</w:t>
      </w:r>
      <w:r>
        <w:rPr>
          <w:rFonts w:ascii="ＭＳ 明朝" w:eastAsia="ＭＳ 明朝" w:hAnsi="ＭＳ 明朝" w:cs="ＭＳ 明朝" w:hint="eastAsia"/>
          <w:sz w:val="22"/>
        </w:rPr>
        <w:t xml:space="preserve">　　</w:t>
      </w:r>
      <w:r>
        <w:rPr>
          <w:rFonts w:ascii="FGP丸ｺﾞｼｯｸ体Ca-B" w:eastAsia="FGP丸ｺﾞｼｯｸ体Ca-B" w:hAnsi="FGP丸ｺﾞｼｯｸ体Ca-B" w:cs="FGP丸ｺﾞｼｯｸ体Ca-B" w:hint="eastAsia"/>
          <w:sz w:val="22"/>
        </w:rPr>
        <w:t>提</w:t>
      </w:r>
    </w:p>
    <w:p w:rsidR="00C174BA" w:rsidRDefault="00C174BA" w:rsidP="002D01D3">
      <w:pPr>
        <w:ind w:leftChars="135" w:left="283" w:firstLine="142"/>
        <w:rPr>
          <w:rFonts w:ascii="ＭＳ 明朝"/>
        </w:rPr>
      </w:pPr>
      <w:r>
        <w:rPr>
          <w:rFonts w:ascii="ＭＳ 明朝" w:hint="eastAsia"/>
        </w:rPr>
        <w:t>臨泊施設を釜ヶ崎近くに設置することは、従前から要求しているところであるが、今回もまた遠隔の地に設置されている。次回には改善されることを求める。また、交通の便が悪いことをよく認識し、バスの増便など釜ヶ崎などとの交通に不便を感じさせない体制を整えること。</w:t>
      </w:r>
    </w:p>
    <w:p w:rsidR="00C174BA" w:rsidRDefault="00C174BA" w:rsidP="00C174BA">
      <w:pPr>
        <w:rPr>
          <w:rFonts w:ascii="FGP丸ｺﾞｼｯｸ体Ca-B" w:eastAsia="FGP丸ｺﾞｼｯｸ体Ca-B"/>
          <w:sz w:val="22"/>
        </w:rPr>
      </w:pPr>
      <w:r>
        <w:rPr>
          <w:rFonts w:ascii="FGP丸ｺﾞｼｯｸ体Ca-B" w:eastAsia="FGP丸ｺﾞｼｯｸ体Ca-B" w:hint="eastAsia"/>
          <w:sz w:val="22"/>
        </w:rPr>
        <w:t>一、越年対策前段について</w:t>
      </w:r>
    </w:p>
    <w:p w:rsidR="00C174BA" w:rsidRDefault="00C174BA" w:rsidP="002D01D3">
      <w:pPr>
        <w:ind w:leftChars="134" w:left="424" w:hangingChars="68" w:hanging="143"/>
        <w:rPr>
          <w:rFonts w:ascii="ＭＳ 明朝"/>
        </w:rPr>
      </w:pPr>
      <w:r>
        <w:rPr>
          <w:rFonts w:ascii="ＭＳ 明朝" w:hint="eastAsia"/>
        </w:rPr>
        <w:t>①前段保護対策を地区内・周辺だけでなく、市内野宿生活者多住区の福祉事務所においても行うこと。</w:t>
      </w:r>
    </w:p>
    <w:p w:rsidR="00C174BA" w:rsidRDefault="00C174BA" w:rsidP="00C174BA">
      <w:pPr>
        <w:rPr>
          <w:rFonts w:ascii="ＭＳ 明朝"/>
        </w:rPr>
      </w:pPr>
      <w:r>
        <w:rPr>
          <w:rFonts w:ascii="FGP丸ｺﾞｼｯｸ体Ca-B" w:eastAsia="FGP丸ｺﾞｼｯｸ体Ca-B" w:hint="eastAsia"/>
          <w:sz w:val="22"/>
        </w:rPr>
        <w:t xml:space="preserve">二、臨時宿泊所受付について </w:t>
      </w:r>
    </w:p>
    <w:p w:rsidR="00C174BA" w:rsidRDefault="00C174BA" w:rsidP="002D01D3">
      <w:pPr>
        <w:ind w:leftChars="134" w:left="424" w:hangingChars="68" w:hanging="143"/>
        <w:rPr>
          <w:rFonts w:ascii="ＭＳ 明朝"/>
        </w:rPr>
      </w:pPr>
      <w:r>
        <w:rPr>
          <w:rFonts w:ascii="ＭＳ 明朝" w:hint="eastAsia"/>
        </w:rPr>
        <w:t>①臨泊受付を地区内だけでなく、周辺・市内野宿生活者多住区においても各福祉事務所においても公示し、ビラ等で市内全野宿者に通知・勧誘すること。</w:t>
      </w:r>
    </w:p>
    <w:p w:rsidR="00C174BA" w:rsidRDefault="00C174BA" w:rsidP="002D01D3">
      <w:pPr>
        <w:numPr>
          <w:ilvl w:val="0"/>
          <w:numId w:val="1"/>
        </w:numPr>
        <w:ind w:firstLine="74"/>
        <w:rPr>
          <w:rFonts w:ascii="ＭＳ 明朝"/>
        </w:rPr>
      </w:pPr>
      <w:r>
        <w:rPr>
          <w:rFonts w:ascii="ＭＳ 明朝" w:hint="eastAsia"/>
        </w:rPr>
        <w:lastRenderedPageBreak/>
        <w:t>臨泊へは当面困窮する一切の人を受け入れること。</w:t>
      </w:r>
    </w:p>
    <w:p w:rsidR="00C174BA" w:rsidRDefault="00C174BA" w:rsidP="00C174BA">
      <w:pPr>
        <w:rPr>
          <w:rFonts w:ascii="ＭＳ 明朝"/>
        </w:rPr>
      </w:pPr>
      <w:r>
        <w:rPr>
          <w:rFonts w:ascii="FGP丸ｺﾞｼｯｸ体Ca-B" w:eastAsia="FGP丸ｺﾞｼｯｸ体Ca-B" w:hint="eastAsia"/>
          <w:sz w:val="22"/>
        </w:rPr>
        <w:t xml:space="preserve">三、「臨泊」の量的・質的向上について </w:t>
      </w:r>
    </w:p>
    <w:p w:rsidR="00C174BA" w:rsidRDefault="00C174BA" w:rsidP="002D01D3">
      <w:pPr>
        <w:ind w:leftChars="134" w:left="424" w:hangingChars="68" w:hanging="143"/>
        <w:rPr>
          <w:rFonts w:ascii="ＭＳ 明朝"/>
        </w:rPr>
      </w:pPr>
      <w:r>
        <w:rPr>
          <w:rFonts w:ascii="ＭＳ 明朝" w:hint="eastAsia"/>
        </w:rPr>
        <w:t>①今年度について、昨年度人数を上回っても充分に入所できる実質的な体制を準備すること。</w:t>
      </w:r>
    </w:p>
    <w:p w:rsidR="00C174BA" w:rsidRDefault="00C174BA" w:rsidP="002D01D3">
      <w:pPr>
        <w:ind w:leftChars="136" w:left="425" w:hangingChars="66" w:hanging="139"/>
        <w:rPr>
          <w:rFonts w:ascii="ＭＳ 明朝"/>
        </w:rPr>
      </w:pPr>
      <w:r>
        <w:rPr>
          <w:rFonts w:ascii="ＭＳ 明朝" w:hint="eastAsia"/>
        </w:rPr>
        <w:t>②食事・入浴・医療体制の向上を図ること。（入浴については、浴槽の湯の量を常にあふれる状態に維持し、浴槽内湯の衛生維持につとめること。医療については、期間内に結核検診の機会を設け、希望者に受診させること。）</w:t>
      </w:r>
    </w:p>
    <w:p w:rsidR="00C174BA" w:rsidRDefault="00C174BA" w:rsidP="002D01D3">
      <w:pPr>
        <w:ind w:leftChars="136" w:left="425" w:hangingChars="66" w:hanging="139"/>
        <w:rPr>
          <w:rFonts w:ascii="ＭＳ 明朝"/>
        </w:rPr>
      </w:pPr>
      <w:r>
        <w:rPr>
          <w:rFonts w:ascii="ＭＳ 明朝" w:hint="eastAsia"/>
        </w:rPr>
        <w:t>③一棟規模の開放的な面会室兼娯楽室をつくり、越冬実メンバーの医療・労働・福祉・文化活動の為の自由立ち入りと、一般労働者の訪問交流を認めること</w:t>
      </w:r>
    </w:p>
    <w:p w:rsidR="00C174BA" w:rsidRDefault="00C174BA" w:rsidP="00C174BA">
      <w:pPr>
        <w:rPr>
          <w:rFonts w:ascii="ＭＳ 明朝"/>
        </w:rPr>
      </w:pPr>
      <w:r>
        <w:rPr>
          <w:rFonts w:ascii="FGP丸ｺﾞｼｯｸ体Ca-B" w:eastAsia="FGP丸ｺﾞｼｯｸ体Ca-B" w:hint="eastAsia"/>
          <w:sz w:val="22"/>
        </w:rPr>
        <w:t xml:space="preserve">四、後段保護継続対策について </w:t>
      </w:r>
    </w:p>
    <w:p w:rsidR="00C174BA" w:rsidRDefault="00C174BA" w:rsidP="002D01D3">
      <w:pPr>
        <w:ind w:leftChars="134" w:left="424" w:hangingChars="68" w:hanging="143"/>
        <w:rPr>
          <w:rFonts w:ascii="ＭＳ 明朝"/>
          <w:sz w:val="20"/>
        </w:rPr>
      </w:pPr>
      <w:r>
        <w:rPr>
          <w:rFonts w:ascii="ＭＳ 明朝" w:hint="eastAsia"/>
        </w:rPr>
        <w:t>①後段保護は、高齢者や病弱者又自立に困難を伴うすべての人を対象に、更に</w:t>
      </w:r>
      <w:r w:rsidR="002D01D3">
        <w:rPr>
          <w:rFonts w:ascii="ＭＳ 明朝" w:hint="eastAsia"/>
        </w:rPr>
        <w:t>4</w:t>
      </w:r>
      <w:r>
        <w:rPr>
          <w:rFonts w:ascii="ＭＳ 明朝" w:hint="eastAsia"/>
        </w:rPr>
        <w:t>・</w:t>
      </w:r>
      <w:r w:rsidR="002D01D3">
        <w:rPr>
          <w:rFonts w:ascii="ＭＳ 明朝" w:hint="eastAsia"/>
        </w:rPr>
        <w:t>5</w:t>
      </w:r>
      <w:r>
        <w:rPr>
          <w:rFonts w:ascii="ＭＳ 明朝" w:hint="eastAsia"/>
        </w:rPr>
        <w:t>・</w:t>
      </w:r>
      <w:r w:rsidR="002D01D3">
        <w:rPr>
          <w:rFonts w:ascii="ＭＳ 明朝" w:hint="eastAsia"/>
        </w:rPr>
        <w:t>6</w:t>
      </w:r>
      <w:r>
        <w:rPr>
          <w:rFonts w:ascii="ＭＳ 明朝" w:hint="eastAsia"/>
        </w:rPr>
        <w:t>月のアブレ期が襲ってくることを考慮に入れた対策として行うこと。</w:t>
      </w:r>
    </w:p>
    <w:p w:rsidR="00C174BA" w:rsidRDefault="00C174BA" w:rsidP="00C174BA">
      <w:pPr>
        <w:numPr>
          <w:ilvl w:val="0"/>
          <w:numId w:val="2"/>
        </w:numPr>
        <w:rPr>
          <w:rFonts w:ascii="FGP丸ｺﾞｼｯｸ体Ca-B" w:eastAsia="FGP丸ｺﾞｼｯｸ体Ca-B"/>
          <w:sz w:val="22"/>
        </w:rPr>
      </w:pPr>
      <w:r>
        <w:rPr>
          <w:rFonts w:ascii="FGP丸ｺﾞｼｯｸ体Ca-B" w:eastAsia="FGP丸ｺﾞｼｯｸ体Ca-B" w:hint="eastAsia"/>
          <w:sz w:val="22"/>
        </w:rPr>
        <w:t xml:space="preserve">高齢者就労対策について </w:t>
      </w:r>
    </w:p>
    <w:p w:rsidR="00C174BA" w:rsidRDefault="00C174BA" w:rsidP="002D01D3">
      <w:pPr>
        <w:ind w:leftChars="67" w:left="141" w:firstLineChars="134" w:firstLine="281"/>
        <w:rPr>
          <w:rFonts w:ascii="ＭＳ 明朝"/>
        </w:rPr>
      </w:pPr>
      <w:r>
        <w:rPr>
          <w:rFonts w:ascii="ＭＳ 明朝" w:hint="eastAsia"/>
        </w:rPr>
        <w:t>求職高齢者の数に応じた仕事を準備すること。それができないのであるならば、ドヤ（簡易宿泊所）での居宅保護を認めること。</w:t>
      </w:r>
    </w:p>
    <w:p w:rsidR="00C174BA" w:rsidRDefault="00C174BA" w:rsidP="00C174BA">
      <w:pPr>
        <w:numPr>
          <w:ilvl w:val="0"/>
          <w:numId w:val="3"/>
        </w:numPr>
        <w:rPr>
          <w:rFonts w:ascii="FGP丸ｺﾞｼｯｸ体Ca-B" w:eastAsia="FGP丸ｺﾞｼｯｸ体Ca-B"/>
          <w:sz w:val="22"/>
        </w:rPr>
      </w:pPr>
      <w:r>
        <w:rPr>
          <w:rFonts w:ascii="FGP丸ｺﾞｼｯｸ体Ca-B" w:eastAsia="FGP丸ｺﾞｼｯｸ体Ca-B" w:hint="eastAsia"/>
          <w:sz w:val="22"/>
        </w:rPr>
        <w:t>府との連携について</w:t>
      </w:r>
    </w:p>
    <w:p w:rsidR="00C174BA" w:rsidRDefault="00C174BA" w:rsidP="002D01D3">
      <w:pPr>
        <w:ind w:leftChars="135" w:left="283" w:firstLineChars="66" w:firstLine="139"/>
        <w:rPr>
          <w:rFonts w:ascii="ＭＳ 明朝"/>
        </w:rPr>
      </w:pPr>
      <w:r>
        <w:rPr>
          <w:rFonts w:ascii="ＭＳ 明朝" w:hint="eastAsia"/>
        </w:rPr>
        <w:t>予算の無駄と警察官の超過勤務の元となる機動隊の常駐をやめ、労働部職員を常駐させて高齢者の求職相談にあたらせること。</w:t>
      </w:r>
    </w:p>
    <w:p w:rsidR="00C174BA" w:rsidRDefault="00C174BA" w:rsidP="00C174BA">
      <w:pPr>
        <w:rPr>
          <w:rFonts w:ascii="ＭＳ 明朝"/>
        </w:rPr>
      </w:pPr>
      <w:r>
        <w:rPr>
          <w:rFonts w:ascii="FGP丸ｺﾞｼｯｸ体Ca-B" w:eastAsia="FGP丸ｺﾞｼｯｸ体Ca-B" w:hint="eastAsia"/>
          <w:sz w:val="22"/>
        </w:rPr>
        <w:t>七、早急に各項について説明の日を設けられたい</w:t>
      </w:r>
    </w:p>
    <w:p w:rsidR="002D01D3" w:rsidRDefault="002D01D3" w:rsidP="00C174BA"/>
    <w:p w:rsidR="00C174BA" w:rsidRDefault="002D01D3" w:rsidP="00C174BA">
      <w:r>
        <w:rPr>
          <w:rFonts w:hint="eastAsia"/>
        </w:rPr>
        <w:t>1</w:t>
      </w:r>
      <w:r>
        <w:t>996</w:t>
      </w:r>
      <w:r w:rsidR="00C174BA">
        <w:rPr>
          <w:rFonts w:hint="eastAsia"/>
        </w:rPr>
        <w:t>年</w:t>
      </w:r>
      <w:r>
        <w:rPr>
          <w:rFonts w:hint="eastAsia"/>
        </w:rPr>
        <w:t>1</w:t>
      </w:r>
      <w:r>
        <w:t>1</w:t>
      </w:r>
      <w:r w:rsidR="00C174BA">
        <w:rPr>
          <w:rFonts w:hint="eastAsia"/>
        </w:rPr>
        <w:t>月</w:t>
      </w:r>
      <w:r>
        <w:rPr>
          <w:rFonts w:hint="eastAsia"/>
        </w:rPr>
        <w:t>2</w:t>
      </w:r>
      <w:r>
        <w:t>8</w:t>
      </w:r>
      <w:r w:rsidR="00C174BA">
        <w:rPr>
          <w:rFonts w:hint="eastAsia"/>
        </w:rPr>
        <w:t>日</w:t>
      </w:r>
    </w:p>
    <w:p w:rsidR="00CE74D8" w:rsidRPr="00C174BA" w:rsidRDefault="00CE74D8"/>
    <w:sectPr w:rsidR="00CE74D8" w:rsidRPr="00C17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37" w:rsidRDefault="00D56537" w:rsidP="002D01D3">
      <w:pPr>
        <w:spacing w:line="240" w:lineRule="auto"/>
      </w:pPr>
      <w:r>
        <w:separator/>
      </w:r>
    </w:p>
  </w:endnote>
  <w:endnote w:type="continuationSeparator" w:id="0">
    <w:p w:rsidR="00D56537" w:rsidRDefault="00D56537" w:rsidP="002D0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GP丸ｺﾞｼｯｸ体Ca-B">
    <w:panose1 w:val="020F0800000000000000"/>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ＤＦ特太ゴシック体">
    <w:panose1 w:val="020B0909010101010101"/>
    <w:charset w:val="80"/>
    <w:family w:val="modern"/>
    <w:pitch w:val="fixed"/>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GPＮＴＣ中丸ゴシック体">
    <w:panose1 w:val="020F06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37" w:rsidRDefault="00D56537" w:rsidP="002D01D3">
      <w:pPr>
        <w:spacing w:line="240" w:lineRule="auto"/>
      </w:pPr>
      <w:r>
        <w:separator/>
      </w:r>
    </w:p>
  </w:footnote>
  <w:footnote w:type="continuationSeparator" w:id="0">
    <w:p w:rsidR="00D56537" w:rsidRDefault="00D56537" w:rsidP="002D01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64EE3"/>
    <w:multiLevelType w:val="singleLevel"/>
    <w:tmpl w:val="453440E6"/>
    <w:lvl w:ilvl="0">
      <w:start w:val="6"/>
      <w:numFmt w:val="japaneseCounting"/>
      <w:lvlText w:val="%1、"/>
      <w:legacy w:legacy="1" w:legacySpace="0" w:legacyIndent="330"/>
      <w:lvlJc w:val="left"/>
      <w:pPr>
        <w:ind w:left="330" w:hanging="330"/>
      </w:pPr>
      <w:rPr>
        <w:rFonts w:ascii="FGP丸ｺﾞｼｯｸ体Ca-B" w:eastAsia="FGP丸ｺﾞｼｯｸ体Ca-B" w:hint="eastAsia"/>
        <w:b w:val="0"/>
        <w:i w:val="0"/>
        <w:strike w:val="0"/>
        <w:dstrike w:val="0"/>
        <w:sz w:val="22"/>
        <w:u w:val="none"/>
        <w:effect w:val="none"/>
      </w:rPr>
    </w:lvl>
  </w:abstractNum>
  <w:abstractNum w:abstractNumId="1">
    <w:nsid w:val="2A1C2C19"/>
    <w:multiLevelType w:val="singleLevel"/>
    <w:tmpl w:val="01042E64"/>
    <w:lvl w:ilvl="0">
      <w:start w:val="5"/>
      <w:numFmt w:val="japaneseCounting"/>
      <w:lvlText w:val="%1、"/>
      <w:legacy w:legacy="1" w:legacySpace="0" w:legacyIndent="330"/>
      <w:lvlJc w:val="left"/>
      <w:pPr>
        <w:ind w:left="330" w:hanging="330"/>
      </w:pPr>
      <w:rPr>
        <w:rFonts w:ascii="FGP丸ｺﾞｼｯｸ体Ca-B" w:eastAsia="FGP丸ｺﾞｼｯｸ体Ca-B" w:hint="eastAsia"/>
        <w:b w:val="0"/>
        <w:i w:val="0"/>
        <w:strike w:val="0"/>
        <w:dstrike w:val="0"/>
        <w:sz w:val="22"/>
        <w:u w:val="none"/>
        <w:effect w:val="none"/>
      </w:rPr>
    </w:lvl>
  </w:abstractNum>
  <w:abstractNum w:abstractNumId="2">
    <w:nsid w:val="70983B1E"/>
    <w:multiLevelType w:val="singleLevel"/>
    <w:tmpl w:val="86C82DCA"/>
    <w:lvl w:ilvl="0">
      <w:start w:val="2"/>
      <w:numFmt w:val="decimalEnclosedCircle"/>
      <w:lvlText w:val="%1"/>
      <w:legacy w:legacy="1" w:legacySpace="0" w:legacyIndent="210"/>
      <w:lvlJc w:val="left"/>
      <w:pPr>
        <w:ind w:left="210" w:hanging="210"/>
      </w:pPr>
      <w:rPr>
        <w:rFonts w:ascii="ＭＳ 明朝" w:eastAsia="ＭＳ 明朝" w:hAnsi="ＭＳ 明朝" w:hint="eastAsia"/>
        <w:b w:val="0"/>
        <w:i w:val="0"/>
        <w:strike w:val="0"/>
        <w:dstrike w:val="0"/>
        <w:sz w:val="21"/>
        <w:u w:val="none"/>
        <w:effect w:val="none"/>
      </w:rPr>
    </w:lvl>
  </w:abstractNum>
  <w:num w:numId="1">
    <w:abstractNumId w:val="2"/>
    <w:lvlOverride w:ilvl="0">
      <w:startOverride w:val="2"/>
    </w:lvlOverride>
  </w:num>
  <w:num w:numId="2">
    <w:abstractNumId w:val="1"/>
    <w:lvlOverride w:ilvl="0">
      <w:startOverride w:val="5"/>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BA"/>
    <w:rsid w:val="002D01D3"/>
    <w:rsid w:val="00C174BA"/>
    <w:rsid w:val="00CE74D8"/>
    <w:rsid w:val="00D5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B35A84-D976-4842-8DEE-2269B51E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BA"/>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1D3"/>
    <w:pPr>
      <w:tabs>
        <w:tab w:val="center" w:pos="4252"/>
        <w:tab w:val="right" w:pos="8504"/>
      </w:tabs>
      <w:snapToGrid w:val="0"/>
    </w:pPr>
  </w:style>
  <w:style w:type="character" w:customStyle="1" w:styleId="a4">
    <w:name w:val="ヘッダー (文字)"/>
    <w:basedOn w:val="a0"/>
    <w:link w:val="a3"/>
    <w:uiPriority w:val="99"/>
    <w:rsid w:val="002D01D3"/>
    <w:rPr>
      <w:rFonts w:ascii="Century" w:eastAsia="Mincho" w:hAnsi="Century" w:cs="Times New Roman"/>
      <w:kern w:val="0"/>
      <w:szCs w:val="20"/>
    </w:rPr>
  </w:style>
  <w:style w:type="paragraph" w:styleId="a5">
    <w:name w:val="footer"/>
    <w:basedOn w:val="a"/>
    <w:link w:val="a6"/>
    <w:uiPriority w:val="99"/>
    <w:unhideWhenUsed/>
    <w:rsid w:val="002D01D3"/>
    <w:pPr>
      <w:tabs>
        <w:tab w:val="center" w:pos="4252"/>
        <w:tab w:val="right" w:pos="8504"/>
      </w:tabs>
      <w:snapToGrid w:val="0"/>
    </w:pPr>
  </w:style>
  <w:style w:type="character" w:customStyle="1" w:styleId="a6">
    <w:name w:val="フッター (文字)"/>
    <w:basedOn w:val="a0"/>
    <w:link w:val="a5"/>
    <w:uiPriority w:val="99"/>
    <w:rsid w:val="002D01D3"/>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1770">
      <w:bodyDiv w:val="1"/>
      <w:marLeft w:val="0"/>
      <w:marRight w:val="0"/>
      <w:marTop w:val="0"/>
      <w:marBottom w:val="0"/>
      <w:divBdr>
        <w:top w:val="none" w:sz="0" w:space="0" w:color="auto"/>
        <w:left w:val="none" w:sz="0" w:space="0" w:color="auto"/>
        <w:bottom w:val="none" w:sz="0" w:space="0" w:color="auto"/>
        <w:right w:val="none" w:sz="0" w:space="0" w:color="auto"/>
      </w:divBdr>
    </w:div>
    <w:div w:id="10777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1170</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2015-01-22T06:45:00Z</dcterms:created>
  <dcterms:modified xsi:type="dcterms:W3CDTF">2015-01-27T05:49:00Z</dcterms:modified>
</cp:coreProperties>
</file>